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8960" w14:textId="77777777" w:rsidR="006F38A3" w:rsidRPr="00B54A4C" w:rsidRDefault="006F38A3" w:rsidP="006F38A3">
      <w:pPr>
        <w:jc w:val="both"/>
        <w:rPr>
          <w:lang w:val="uk-UA"/>
        </w:rPr>
      </w:pPr>
      <w:r w:rsidRPr="00B54A4C">
        <w:rPr>
          <w:rStyle w:val="51"/>
          <w:color w:val="auto"/>
        </w:rPr>
        <w:t xml:space="preserve">До уваги акціонерів Приватного акціонерного товариства «Ділові партнери» (місцезнаходження за </w:t>
      </w:r>
      <w:proofErr w:type="spellStart"/>
      <w:r w:rsidRPr="00B54A4C">
        <w:rPr>
          <w:rStyle w:val="51"/>
          <w:color w:val="auto"/>
        </w:rPr>
        <w:t>адресою</w:t>
      </w:r>
      <w:proofErr w:type="spellEnd"/>
      <w:r w:rsidRPr="00B54A4C">
        <w:rPr>
          <w:rStyle w:val="51"/>
          <w:color w:val="auto"/>
        </w:rPr>
        <w:t>: 03056, м. Київ, вул. В. Гетьмана 27; код за ЄДРПОУ 23721506).</w:t>
      </w:r>
    </w:p>
    <w:p w14:paraId="3FCD035D" w14:textId="77777777" w:rsidR="006F38A3" w:rsidRPr="00B54A4C" w:rsidRDefault="006F38A3" w:rsidP="006F38A3">
      <w:pPr>
        <w:jc w:val="both"/>
        <w:rPr>
          <w:rStyle w:val="51"/>
          <w:color w:val="auto"/>
        </w:rPr>
      </w:pPr>
      <w:r w:rsidRPr="00B54A4C">
        <w:rPr>
          <w:rStyle w:val="51"/>
          <w:color w:val="auto"/>
        </w:rPr>
        <w:t xml:space="preserve">Наглядова рада  ПрАТ «Ділові партнери» (надалі – Товариство) повідомляє про дистанційне проведення  </w:t>
      </w:r>
      <w:r>
        <w:rPr>
          <w:rStyle w:val="51"/>
          <w:color w:val="auto"/>
        </w:rPr>
        <w:t>позачергових</w:t>
      </w:r>
      <w:r w:rsidRPr="00B54A4C">
        <w:rPr>
          <w:rStyle w:val="51"/>
          <w:color w:val="auto"/>
        </w:rPr>
        <w:t xml:space="preserve"> загальних зборів акціонерів Товариства </w:t>
      </w:r>
      <w:r>
        <w:rPr>
          <w:rStyle w:val="51"/>
          <w:color w:val="auto"/>
        </w:rPr>
        <w:t>22</w:t>
      </w:r>
      <w:r w:rsidRPr="00B54A4C">
        <w:rPr>
          <w:rStyle w:val="51"/>
          <w:color w:val="auto"/>
        </w:rPr>
        <w:t xml:space="preserve"> </w:t>
      </w:r>
      <w:r>
        <w:rPr>
          <w:rStyle w:val="51"/>
          <w:color w:val="auto"/>
        </w:rPr>
        <w:t>липня</w:t>
      </w:r>
      <w:r w:rsidRPr="00B54A4C">
        <w:rPr>
          <w:rStyle w:val="51"/>
          <w:color w:val="auto"/>
        </w:rPr>
        <w:t xml:space="preserve"> 202</w:t>
      </w:r>
      <w:r>
        <w:rPr>
          <w:rStyle w:val="51"/>
          <w:color w:val="auto"/>
        </w:rPr>
        <w:t>6</w:t>
      </w:r>
      <w:r w:rsidRPr="00B54A4C">
        <w:rPr>
          <w:rStyle w:val="51"/>
          <w:color w:val="auto"/>
        </w:rPr>
        <w:t xml:space="preserve"> року. Відповідне рішення прийнято Наглядовою радою Товариства (Протокол засідання Наглядової ради від </w:t>
      </w:r>
      <w:r>
        <w:rPr>
          <w:rStyle w:val="51"/>
          <w:color w:val="auto"/>
        </w:rPr>
        <w:t>29 червня</w:t>
      </w:r>
      <w:r w:rsidRPr="00B54A4C">
        <w:rPr>
          <w:rStyle w:val="51"/>
          <w:color w:val="auto"/>
        </w:rPr>
        <w:t xml:space="preserve"> 202</w:t>
      </w:r>
      <w:r>
        <w:rPr>
          <w:rStyle w:val="51"/>
          <w:color w:val="auto"/>
        </w:rPr>
        <w:t>6</w:t>
      </w:r>
      <w:r w:rsidRPr="00B54A4C">
        <w:rPr>
          <w:rStyle w:val="51"/>
          <w:color w:val="auto"/>
        </w:rPr>
        <w:t xml:space="preserve"> р. №</w:t>
      </w:r>
      <w:r>
        <w:rPr>
          <w:rStyle w:val="51"/>
          <w:color w:val="auto"/>
        </w:rPr>
        <w:t>82</w:t>
      </w:r>
      <w:r w:rsidRPr="00B54A4C">
        <w:rPr>
          <w:rStyle w:val="51"/>
          <w:color w:val="auto"/>
        </w:rPr>
        <w:t xml:space="preserve">) </w:t>
      </w:r>
      <w:r>
        <w:rPr>
          <w:rStyle w:val="51"/>
          <w:rFonts w:eastAsia="Calibri"/>
          <w:color w:val="auto"/>
        </w:rPr>
        <w:t>У зв’язку з тим, що вирішення питань порядку денного вимагають інтереси Товариства, на підставі Статті 45 Закону України «Про акціонерні товариства», позачергові загальні збори акціонерів Товариства скликаються по скороченій процедурі.</w:t>
      </w:r>
    </w:p>
    <w:p w14:paraId="3706D84F" w14:textId="77777777" w:rsidR="006F38A3" w:rsidRPr="00B54A4C" w:rsidRDefault="006F38A3" w:rsidP="006F38A3">
      <w:pPr>
        <w:jc w:val="both"/>
        <w:rPr>
          <w:rStyle w:val="51"/>
          <w:color w:val="auto"/>
        </w:rPr>
      </w:pPr>
    </w:p>
    <w:p w14:paraId="1CA51A28" w14:textId="77777777" w:rsidR="006F38A3" w:rsidRPr="00B54A4C" w:rsidRDefault="006F38A3" w:rsidP="006F38A3">
      <w:pPr>
        <w:jc w:val="both"/>
        <w:rPr>
          <w:rStyle w:val="51"/>
          <w:color w:val="auto"/>
        </w:rPr>
      </w:pPr>
      <w:r w:rsidRPr="00B54A4C">
        <w:rPr>
          <w:rStyle w:val="51"/>
          <w:color w:val="auto"/>
        </w:rPr>
        <w:t xml:space="preserve">Дата дистанційного проведення </w:t>
      </w:r>
      <w:r>
        <w:rPr>
          <w:rStyle w:val="51"/>
          <w:color w:val="auto"/>
        </w:rPr>
        <w:t>позачергових</w:t>
      </w:r>
      <w:r w:rsidRPr="00B54A4C">
        <w:rPr>
          <w:rStyle w:val="51"/>
          <w:color w:val="auto"/>
        </w:rPr>
        <w:t xml:space="preserve"> загальних зборів акціонерів ПрАТ «Ділові партнери» (дата завершення голосування), що будуть проведені у відповідності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 становить </w:t>
      </w:r>
      <w:r>
        <w:rPr>
          <w:rStyle w:val="51"/>
          <w:color w:val="auto"/>
        </w:rPr>
        <w:t>22</w:t>
      </w:r>
      <w:r w:rsidRPr="00B54A4C">
        <w:rPr>
          <w:rStyle w:val="51"/>
          <w:color w:val="auto"/>
        </w:rPr>
        <w:t xml:space="preserve"> </w:t>
      </w:r>
      <w:r>
        <w:rPr>
          <w:rStyle w:val="51"/>
          <w:color w:val="auto"/>
        </w:rPr>
        <w:t xml:space="preserve">липня </w:t>
      </w:r>
      <w:r w:rsidRPr="00B54A4C">
        <w:rPr>
          <w:rStyle w:val="51"/>
          <w:color w:val="auto"/>
        </w:rPr>
        <w:t>202</w:t>
      </w:r>
      <w:r>
        <w:rPr>
          <w:rStyle w:val="51"/>
          <w:color w:val="auto"/>
        </w:rPr>
        <w:t>6</w:t>
      </w:r>
      <w:r w:rsidRPr="00B54A4C">
        <w:rPr>
          <w:rStyle w:val="51"/>
          <w:color w:val="auto"/>
        </w:rPr>
        <w:t xml:space="preserve"> р.</w:t>
      </w:r>
    </w:p>
    <w:p w14:paraId="04E920A4" w14:textId="77777777" w:rsidR="006F38A3" w:rsidRPr="00B54A4C" w:rsidRDefault="006F38A3" w:rsidP="006F38A3">
      <w:pPr>
        <w:jc w:val="both"/>
        <w:rPr>
          <w:rStyle w:val="51"/>
          <w:color w:val="auto"/>
        </w:rPr>
      </w:pPr>
    </w:p>
    <w:p w14:paraId="7E95D837" w14:textId="77777777" w:rsidR="006F38A3" w:rsidRPr="00B54A4C" w:rsidRDefault="006F38A3" w:rsidP="006F38A3">
      <w:pPr>
        <w:shd w:val="clear" w:color="auto" w:fill="FFFFFF"/>
        <w:tabs>
          <w:tab w:val="left" w:pos="3119"/>
        </w:tabs>
        <w:spacing w:line="250" w:lineRule="exact"/>
        <w:jc w:val="center"/>
        <w:rPr>
          <w:bCs/>
          <w:sz w:val="22"/>
          <w:szCs w:val="22"/>
          <w:u w:val="single"/>
          <w:lang w:val="uk-UA" w:eastAsia="ru-RU"/>
        </w:rPr>
      </w:pPr>
      <w:proofErr w:type="spellStart"/>
      <w:r w:rsidRPr="00B54A4C">
        <w:rPr>
          <w:bCs/>
          <w:spacing w:val="-1"/>
          <w:sz w:val="22"/>
          <w:szCs w:val="22"/>
          <w:u w:val="single"/>
          <w:lang w:val="uk-UA" w:eastAsia="ru-RU"/>
        </w:rPr>
        <w:t>Проект</w:t>
      </w:r>
      <w:proofErr w:type="spellEnd"/>
      <w:r w:rsidRPr="00B54A4C">
        <w:rPr>
          <w:bCs/>
          <w:spacing w:val="-1"/>
          <w:sz w:val="22"/>
          <w:szCs w:val="22"/>
          <w:u w:val="single"/>
          <w:lang w:val="uk-UA" w:eastAsia="ru-RU"/>
        </w:rPr>
        <w:t xml:space="preserve"> Порядку денного:</w:t>
      </w:r>
    </w:p>
    <w:p w14:paraId="5594AF5D" w14:textId="77777777" w:rsidR="006F38A3" w:rsidRPr="00B96867" w:rsidRDefault="006F38A3" w:rsidP="006F38A3">
      <w:pPr>
        <w:suppressAutoHyphens/>
        <w:jc w:val="both"/>
        <w:rPr>
          <w:rStyle w:val="51"/>
          <w:color w:val="auto"/>
        </w:rPr>
      </w:pPr>
      <w:r>
        <w:rPr>
          <w:rStyle w:val="51"/>
          <w:color w:val="auto"/>
        </w:rPr>
        <w:t xml:space="preserve">1. </w:t>
      </w:r>
      <w:r w:rsidRPr="00B96867">
        <w:rPr>
          <w:rStyle w:val="51"/>
          <w:color w:val="auto"/>
        </w:rPr>
        <w:t>Внесення змін та доповнень до Статуту Товариства шляхом викладення та затвердження Статуту Товариства в новій редакції.</w:t>
      </w:r>
    </w:p>
    <w:p w14:paraId="44186684" w14:textId="77777777" w:rsidR="006F38A3" w:rsidRPr="00B96867" w:rsidRDefault="006F38A3" w:rsidP="006F38A3">
      <w:pPr>
        <w:suppressAutoHyphens/>
        <w:jc w:val="both"/>
        <w:rPr>
          <w:rStyle w:val="51"/>
          <w:color w:val="auto"/>
        </w:rPr>
      </w:pPr>
      <w:proofErr w:type="spellStart"/>
      <w:r w:rsidRPr="00B96867">
        <w:rPr>
          <w:rStyle w:val="51"/>
          <w:color w:val="auto"/>
        </w:rPr>
        <w:t>Проект</w:t>
      </w:r>
      <w:proofErr w:type="spellEnd"/>
      <w:r w:rsidRPr="00B96867">
        <w:rPr>
          <w:rStyle w:val="51"/>
          <w:color w:val="auto"/>
        </w:rPr>
        <w:t xml:space="preserve"> рішення:</w:t>
      </w:r>
    </w:p>
    <w:p w14:paraId="7721A6B9" w14:textId="77777777" w:rsidR="006F38A3" w:rsidRPr="00B96867" w:rsidRDefault="006F38A3" w:rsidP="006F38A3">
      <w:pPr>
        <w:suppressAutoHyphens/>
        <w:jc w:val="both"/>
        <w:rPr>
          <w:rStyle w:val="51"/>
          <w:color w:val="auto"/>
        </w:rPr>
      </w:pPr>
      <w:r w:rsidRPr="00B96867">
        <w:rPr>
          <w:rStyle w:val="51"/>
          <w:color w:val="auto"/>
        </w:rPr>
        <w:t xml:space="preserve">1.1. </w:t>
      </w:r>
      <w:proofErr w:type="spellStart"/>
      <w:r w:rsidRPr="00B96867">
        <w:rPr>
          <w:rStyle w:val="51"/>
          <w:color w:val="auto"/>
        </w:rPr>
        <w:t>Внести</w:t>
      </w:r>
      <w:proofErr w:type="spellEnd"/>
      <w:r w:rsidRPr="00B96867">
        <w:rPr>
          <w:rStyle w:val="51"/>
          <w:color w:val="auto"/>
        </w:rPr>
        <w:t xml:space="preserve"> зміни до статуту Товариства шляхом викладення та затвердження його у новій редакції. </w:t>
      </w:r>
    </w:p>
    <w:p w14:paraId="61060011" w14:textId="77777777" w:rsidR="006F38A3" w:rsidRPr="00B96867" w:rsidRDefault="006F38A3" w:rsidP="006F38A3">
      <w:pPr>
        <w:suppressAutoHyphens/>
        <w:jc w:val="both"/>
        <w:rPr>
          <w:rStyle w:val="51"/>
          <w:color w:val="auto"/>
        </w:rPr>
      </w:pPr>
      <w:r w:rsidRPr="00B96867">
        <w:rPr>
          <w:rStyle w:val="51"/>
          <w:color w:val="auto"/>
        </w:rPr>
        <w:t xml:space="preserve">1.2. Уповноважити </w:t>
      </w:r>
      <w:proofErr w:type="spellStart"/>
      <w:r>
        <w:rPr>
          <w:rStyle w:val="51"/>
          <w:color w:val="auto"/>
        </w:rPr>
        <w:t>Т.в.о</w:t>
      </w:r>
      <w:proofErr w:type="spellEnd"/>
      <w:r>
        <w:rPr>
          <w:rStyle w:val="51"/>
          <w:color w:val="auto"/>
        </w:rPr>
        <w:t xml:space="preserve">. </w:t>
      </w:r>
      <w:r w:rsidRPr="00B96867">
        <w:rPr>
          <w:rStyle w:val="51"/>
          <w:color w:val="auto"/>
        </w:rPr>
        <w:t>директора Товариства підписати Статут Товариства у новій редакції та провести всі необхідні дії з державної реєстрації з правом підписання передбачених законодавством документів.</w:t>
      </w:r>
    </w:p>
    <w:p w14:paraId="3E3D6591" w14:textId="77777777" w:rsidR="006F38A3" w:rsidRPr="00B96867" w:rsidRDefault="006F38A3" w:rsidP="006F38A3">
      <w:pPr>
        <w:suppressAutoHyphens/>
        <w:jc w:val="both"/>
        <w:rPr>
          <w:rStyle w:val="51"/>
          <w:color w:val="auto"/>
        </w:rPr>
      </w:pPr>
    </w:p>
    <w:p w14:paraId="546E39E6" w14:textId="77777777" w:rsidR="006F38A3" w:rsidRPr="00B96867" w:rsidRDefault="006F38A3" w:rsidP="006F38A3">
      <w:pPr>
        <w:suppressAutoHyphens/>
        <w:jc w:val="both"/>
        <w:rPr>
          <w:rStyle w:val="51"/>
          <w:color w:val="auto"/>
        </w:rPr>
      </w:pPr>
      <w:r>
        <w:rPr>
          <w:rStyle w:val="51"/>
          <w:color w:val="auto"/>
        </w:rPr>
        <w:t xml:space="preserve">2. </w:t>
      </w:r>
      <w:r w:rsidRPr="00B96867">
        <w:rPr>
          <w:rStyle w:val="51"/>
          <w:color w:val="auto"/>
        </w:rPr>
        <w:t>Внесення змін та доповнень до внутрішніх положень Товариства шляхом викладення та затвердження їх в новій редакції.</w:t>
      </w:r>
    </w:p>
    <w:p w14:paraId="23B01EAC" w14:textId="77777777" w:rsidR="006F38A3" w:rsidRDefault="006F38A3" w:rsidP="006F38A3">
      <w:pPr>
        <w:suppressAutoHyphens/>
        <w:jc w:val="both"/>
        <w:rPr>
          <w:rStyle w:val="51"/>
          <w:color w:val="auto"/>
        </w:rPr>
      </w:pPr>
      <w:proofErr w:type="spellStart"/>
      <w:r w:rsidRPr="00B96867">
        <w:rPr>
          <w:rStyle w:val="51"/>
          <w:color w:val="auto"/>
        </w:rPr>
        <w:t>Проект</w:t>
      </w:r>
      <w:proofErr w:type="spellEnd"/>
      <w:r w:rsidRPr="00B96867">
        <w:rPr>
          <w:rStyle w:val="51"/>
          <w:color w:val="auto"/>
        </w:rPr>
        <w:t xml:space="preserve"> рішення:</w:t>
      </w:r>
    </w:p>
    <w:p w14:paraId="36957876" w14:textId="77777777" w:rsidR="006F38A3" w:rsidRPr="00B96867" w:rsidRDefault="006F38A3" w:rsidP="006F38A3">
      <w:pPr>
        <w:suppressAutoHyphens/>
        <w:jc w:val="both"/>
        <w:rPr>
          <w:rStyle w:val="51"/>
          <w:color w:val="auto"/>
        </w:rPr>
      </w:pPr>
      <w:r>
        <w:rPr>
          <w:rStyle w:val="51"/>
          <w:color w:val="auto"/>
        </w:rPr>
        <w:t>2</w:t>
      </w:r>
      <w:r w:rsidRPr="00B96867">
        <w:rPr>
          <w:rStyle w:val="51"/>
          <w:color w:val="auto"/>
        </w:rPr>
        <w:t xml:space="preserve">.1. </w:t>
      </w:r>
      <w:proofErr w:type="spellStart"/>
      <w:r w:rsidRPr="00B96867">
        <w:rPr>
          <w:rStyle w:val="51"/>
          <w:color w:val="auto"/>
        </w:rPr>
        <w:t>Внести</w:t>
      </w:r>
      <w:proofErr w:type="spellEnd"/>
      <w:r w:rsidRPr="00B96867">
        <w:rPr>
          <w:rStyle w:val="51"/>
          <w:color w:val="auto"/>
        </w:rPr>
        <w:t xml:space="preserve"> зміни до Положень Директора Товариства</w:t>
      </w:r>
      <w:r>
        <w:rPr>
          <w:rStyle w:val="51"/>
          <w:color w:val="auto"/>
        </w:rPr>
        <w:t xml:space="preserve"> та</w:t>
      </w:r>
      <w:r w:rsidRPr="00B96867">
        <w:rPr>
          <w:rStyle w:val="51"/>
          <w:color w:val="auto"/>
        </w:rPr>
        <w:t xml:space="preserve"> Наглядову раду Товариства, шляхом викладення та затвердження їх у новій редакції.</w:t>
      </w:r>
    </w:p>
    <w:p w14:paraId="1F3B27C0" w14:textId="77777777" w:rsidR="006F38A3" w:rsidRDefault="006F38A3" w:rsidP="006F38A3">
      <w:pPr>
        <w:suppressAutoHyphens/>
        <w:jc w:val="both"/>
        <w:rPr>
          <w:rStyle w:val="51"/>
          <w:color w:val="auto"/>
        </w:rPr>
      </w:pPr>
      <w:r>
        <w:rPr>
          <w:rStyle w:val="51"/>
          <w:color w:val="auto"/>
        </w:rPr>
        <w:t>2</w:t>
      </w:r>
      <w:r w:rsidRPr="00B96867">
        <w:rPr>
          <w:rStyle w:val="51"/>
          <w:color w:val="auto"/>
        </w:rPr>
        <w:t>.</w:t>
      </w:r>
      <w:r>
        <w:rPr>
          <w:rStyle w:val="51"/>
          <w:color w:val="auto"/>
        </w:rPr>
        <w:t>1</w:t>
      </w:r>
      <w:r w:rsidRPr="00B96867">
        <w:rPr>
          <w:rStyle w:val="51"/>
          <w:color w:val="auto"/>
        </w:rPr>
        <w:t xml:space="preserve">. Уповноважити </w:t>
      </w:r>
      <w:proofErr w:type="spellStart"/>
      <w:r>
        <w:rPr>
          <w:rStyle w:val="51"/>
          <w:color w:val="auto"/>
        </w:rPr>
        <w:t>Т.в.о</w:t>
      </w:r>
      <w:proofErr w:type="spellEnd"/>
      <w:r>
        <w:rPr>
          <w:rStyle w:val="51"/>
          <w:color w:val="auto"/>
        </w:rPr>
        <w:t>. д</w:t>
      </w:r>
      <w:r w:rsidRPr="00B96867">
        <w:rPr>
          <w:rStyle w:val="51"/>
          <w:color w:val="auto"/>
        </w:rPr>
        <w:t>иректора Товариства підписати означені внутрішні положення Товариства у новій редакції.</w:t>
      </w:r>
    </w:p>
    <w:p w14:paraId="3B70C545" w14:textId="77777777" w:rsidR="006F38A3" w:rsidRDefault="006F38A3" w:rsidP="006F38A3">
      <w:pPr>
        <w:suppressAutoHyphens/>
        <w:jc w:val="both"/>
        <w:rPr>
          <w:rStyle w:val="51"/>
          <w:color w:val="auto"/>
        </w:rPr>
      </w:pPr>
    </w:p>
    <w:p w14:paraId="704CBDB5" w14:textId="77777777" w:rsidR="006F38A3" w:rsidRDefault="006F38A3" w:rsidP="006F38A3">
      <w:pPr>
        <w:suppressAutoHyphens/>
        <w:jc w:val="both"/>
        <w:rPr>
          <w:rStyle w:val="51"/>
          <w:color w:val="auto"/>
        </w:rPr>
      </w:pPr>
      <w:r>
        <w:rPr>
          <w:rStyle w:val="51"/>
          <w:color w:val="auto"/>
        </w:rPr>
        <w:t>3. Затвердження внутрішніх положень Товариства.</w:t>
      </w:r>
    </w:p>
    <w:p w14:paraId="4B16BA32" w14:textId="77777777" w:rsidR="006F38A3" w:rsidRDefault="006F38A3" w:rsidP="006F38A3">
      <w:pPr>
        <w:suppressAutoHyphens/>
        <w:jc w:val="both"/>
        <w:rPr>
          <w:rStyle w:val="51"/>
          <w:color w:val="auto"/>
        </w:rPr>
      </w:pPr>
      <w:proofErr w:type="spellStart"/>
      <w:r>
        <w:rPr>
          <w:rStyle w:val="51"/>
          <w:color w:val="auto"/>
        </w:rPr>
        <w:t>Проект</w:t>
      </w:r>
      <w:proofErr w:type="spellEnd"/>
      <w:r>
        <w:rPr>
          <w:rStyle w:val="51"/>
          <w:color w:val="auto"/>
        </w:rPr>
        <w:t xml:space="preserve"> рішення:</w:t>
      </w:r>
    </w:p>
    <w:p w14:paraId="41F1EA4E" w14:textId="77777777" w:rsidR="006F38A3" w:rsidRPr="00B96867" w:rsidRDefault="006F38A3" w:rsidP="006F38A3">
      <w:pPr>
        <w:suppressAutoHyphens/>
        <w:jc w:val="both"/>
        <w:rPr>
          <w:rStyle w:val="51"/>
          <w:color w:val="auto"/>
        </w:rPr>
      </w:pPr>
      <w:r>
        <w:rPr>
          <w:rStyle w:val="51"/>
          <w:color w:val="auto"/>
        </w:rPr>
        <w:t>3.1. Затвердити</w:t>
      </w:r>
      <w:r w:rsidRPr="00B96867">
        <w:rPr>
          <w:rStyle w:val="51"/>
          <w:color w:val="auto"/>
        </w:rPr>
        <w:t xml:space="preserve"> Положен</w:t>
      </w:r>
      <w:r>
        <w:rPr>
          <w:rStyle w:val="51"/>
          <w:color w:val="auto"/>
        </w:rPr>
        <w:t>ня про винагороду членів наглядової ради Товариства</w:t>
      </w:r>
      <w:r w:rsidRPr="00B96867">
        <w:rPr>
          <w:rStyle w:val="51"/>
          <w:color w:val="auto"/>
        </w:rPr>
        <w:t>.</w:t>
      </w:r>
    </w:p>
    <w:p w14:paraId="78B67984" w14:textId="77777777" w:rsidR="006F38A3" w:rsidRDefault="006F38A3" w:rsidP="006F38A3">
      <w:pPr>
        <w:suppressAutoHyphens/>
        <w:jc w:val="both"/>
        <w:rPr>
          <w:rStyle w:val="51"/>
          <w:color w:val="auto"/>
        </w:rPr>
      </w:pPr>
      <w:r>
        <w:rPr>
          <w:rStyle w:val="51"/>
          <w:color w:val="auto"/>
        </w:rPr>
        <w:t>2</w:t>
      </w:r>
      <w:r w:rsidRPr="00B96867">
        <w:rPr>
          <w:rStyle w:val="51"/>
          <w:color w:val="auto"/>
        </w:rPr>
        <w:t>.</w:t>
      </w:r>
      <w:r>
        <w:rPr>
          <w:rStyle w:val="51"/>
          <w:color w:val="auto"/>
        </w:rPr>
        <w:t>1</w:t>
      </w:r>
      <w:r w:rsidRPr="00B96867">
        <w:rPr>
          <w:rStyle w:val="51"/>
          <w:color w:val="auto"/>
        </w:rPr>
        <w:t xml:space="preserve">. Уповноважити </w:t>
      </w:r>
      <w:proofErr w:type="spellStart"/>
      <w:r>
        <w:rPr>
          <w:rStyle w:val="51"/>
          <w:color w:val="auto"/>
        </w:rPr>
        <w:t>т.в.о</w:t>
      </w:r>
      <w:proofErr w:type="spellEnd"/>
      <w:r>
        <w:rPr>
          <w:rStyle w:val="51"/>
          <w:color w:val="auto"/>
        </w:rPr>
        <w:t>. д</w:t>
      </w:r>
      <w:r w:rsidRPr="00B96867">
        <w:rPr>
          <w:rStyle w:val="51"/>
          <w:color w:val="auto"/>
        </w:rPr>
        <w:t xml:space="preserve">иректора Товариства підписати </w:t>
      </w:r>
      <w:r>
        <w:rPr>
          <w:rStyle w:val="51"/>
          <w:color w:val="auto"/>
        </w:rPr>
        <w:t xml:space="preserve">затверджене </w:t>
      </w:r>
      <w:r w:rsidRPr="00B96867">
        <w:rPr>
          <w:rStyle w:val="51"/>
          <w:color w:val="auto"/>
        </w:rPr>
        <w:t>Положен</w:t>
      </w:r>
      <w:r>
        <w:rPr>
          <w:rStyle w:val="51"/>
          <w:color w:val="auto"/>
        </w:rPr>
        <w:t>ня про винагороду членів наглядової ради Товариства.</w:t>
      </w:r>
    </w:p>
    <w:p w14:paraId="0B60AC3A" w14:textId="77777777" w:rsidR="006F38A3" w:rsidRDefault="006F38A3" w:rsidP="006F38A3">
      <w:pPr>
        <w:suppressAutoHyphens/>
        <w:jc w:val="both"/>
        <w:rPr>
          <w:rStyle w:val="51"/>
          <w:color w:val="auto"/>
        </w:rPr>
      </w:pPr>
    </w:p>
    <w:p w14:paraId="16BBD682" w14:textId="77777777" w:rsidR="006F38A3" w:rsidRDefault="006F38A3" w:rsidP="006F38A3">
      <w:pPr>
        <w:suppressAutoHyphens/>
        <w:jc w:val="both"/>
        <w:rPr>
          <w:rStyle w:val="51"/>
          <w:color w:val="auto"/>
        </w:rPr>
      </w:pPr>
      <w:r>
        <w:rPr>
          <w:rStyle w:val="51"/>
          <w:color w:val="auto"/>
        </w:rPr>
        <w:t xml:space="preserve">4. Про застосування </w:t>
      </w:r>
      <w:r w:rsidRPr="000A222F">
        <w:rPr>
          <w:rStyle w:val="51"/>
          <w:color w:val="auto"/>
        </w:rPr>
        <w:t>Кодексу корпоративного управління, затвердженого рішенням Національної комісії з цінних паперів та фондового ринку від 12 березня 2020 року № 118.</w:t>
      </w:r>
    </w:p>
    <w:p w14:paraId="3F20FDDC" w14:textId="77777777" w:rsidR="006F38A3" w:rsidRDefault="006F38A3" w:rsidP="006F38A3">
      <w:pPr>
        <w:suppressAutoHyphens/>
        <w:jc w:val="both"/>
        <w:rPr>
          <w:rStyle w:val="51"/>
          <w:color w:val="auto"/>
        </w:rPr>
      </w:pPr>
      <w:proofErr w:type="spellStart"/>
      <w:r>
        <w:rPr>
          <w:rStyle w:val="51"/>
          <w:color w:val="auto"/>
        </w:rPr>
        <w:t>Проект</w:t>
      </w:r>
      <w:proofErr w:type="spellEnd"/>
      <w:r>
        <w:rPr>
          <w:rStyle w:val="51"/>
          <w:color w:val="auto"/>
        </w:rPr>
        <w:t xml:space="preserve"> рішення:</w:t>
      </w:r>
    </w:p>
    <w:p w14:paraId="6FB7C972" w14:textId="77777777" w:rsidR="006F38A3" w:rsidRDefault="006F38A3" w:rsidP="006F38A3">
      <w:pPr>
        <w:suppressAutoHyphens/>
        <w:jc w:val="both"/>
        <w:rPr>
          <w:rStyle w:val="51"/>
          <w:color w:val="auto"/>
        </w:rPr>
      </w:pPr>
      <w:r>
        <w:rPr>
          <w:rStyle w:val="51"/>
          <w:color w:val="auto"/>
        </w:rPr>
        <w:t xml:space="preserve">4.1. Приєднатися до застосування </w:t>
      </w:r>
      <w:r w:rsidRPr="000A222F">
        <w:rPr>
          <w:rStyle w:val="51"/>
          <w:color w:val="auto"/>
        </w:rPr>
        <w:t>Кодексу корпоративного управління, затвердженого рішенням Національної комісії з цінних паперів та фондового ринку від 12 березня 2020 року № 118</w:t>
      </w:r>
      <w:r>
        <w:rPr>
          <w:rStyle w:val="51"/>
          <w:color w:val="auto"/>
        </w:rPr>
        <w:t xml:space="preserve"> в корпоративних відносинах Товариства.</w:t>
      </w:r>
    </w:p>
    <w:p w14:paraId="78B80329" w14:textId="77777777" w:rsidR="006F38A3" w:rsidRDefault="006F38A3" w:rsidP="006F38A3">
      <w:pPr>
        <w:suppressAutoHyphens/>
        <w:jc w:val="both"/>
        <w:rPr>
          <w:rStyle w:val="51"/>
          <w:color w:val="auto"/>
        </w:rPr>
      </w:pPr>
      <w:r>
        <w:rPr>
          <w:rStyle w:val="51"/>
          <w:color w:val="auto"/>
        </w:rPr>
        <w:t xml:space="preserve">4.2. Затвердити </w:t>
      </w:r>
      <w:r w:rsidRPr="000A222F">
        <w:rPr>
          <w:rStyle w:val="51"/>
          <w:color w:val="auto"/>
        </w:rPr>
        <w:t>Кодекс корпоративного управління</w:t>
      </w:r>
      <w:r>
        <w:rPr>
          <w:rStyle w:val="51"/>
          <w:color w:val="auto"/>
        </w:rPr>
        <w:t xml:space="preserve"> Товариства.</w:t>
      </w:r>
    </w:p>
    <w:p w14:paraId="465E39B3" w14:textId="77777777" w:rsidR="006F38A3" w:rsidRPr="00B54A4C" w:rsidRDefault="006F38A3" w:rsidP="006F38A3">
      <w:pPr>
        <w:suppressAutoHyphens/>
        <w:jc w:val="both"/>
        <w:rPr>
          <w:rStyle w:val="51"/>
          <w:color w:val="auto"/>
        </w:rPr>
      </w:pPr>
      <w:r>
        <w:rPr>
          <w:rStyle w:val="51"/>
          <w:color w:val="auto"/>
        </w:rPr>
        <w:t xml:space="preserve">4.3. </w:t>
      </w:r>
      <w:r w:rsidRPr="000A222F">
        <w:rPr>
          <w:rStyle w:val="51"/>
          <w:color w:val="auto"/>
        </w:rPr>
        <w:t xml:space="preserve">Уповноважити </w:t>
      </w:r>
      <w:proofErr w:type="spellStart"/>
      <w:r w:rsidRPr="000A222F">
        <w:rPr>
          <w:rStyle w:val="51"/>
          <w:color w:val="auto"/>
        </w:rPr>
        <w:t>т.в.о</w:t>
      </w:r>
      <w:proofErr w:type="spellEnd"/>
      <w:r w:rsidRPr="000A222F">
        <w:rPr>
          <w:rStyle w:val="51"/>
          <w:color w:val="auto"/>
        </w:rPr>
        <w:t>. директора Товариства підписати затверджен</w:t>
      </w:r>
      <w:r>
        <w:rPr>
          <w:rStyle w:val="51"/>
          <w:color w:val="auto"/>
        </w:rPr>
        <w:t xml:space="preserve">ий </w:t>
      </w:r>
      <w:r w:rsidRPr="000A222F">
        <w:rPr>
          <w:rStyle w:val="51"/>
          <w:color w:val="auto"/>
        </w:rPr>
        <w:t xml:space="preserve"> Кодекс корпоративного управління</w:t>
      </w:r>
      <w:r>
        <w:rPr>
          <w:rStyle w:val="51"/>
          <w:color w:val="auto"/>
        </w:rPr>
        <w:t xml:space="preserve"> Товариства.</w:t>
      </w:r>
    </w:p>
    <w:p w14:paraId="27D860F8" w14:textId="77777777" w:rsidR="006F38A3" w:rsidRPr="00B54A4C" w:rsidRDefault="006F38A3" w:rsidP="006F38A3">
      <w:pPr>
        <w:tabs>
          <w:tab w:val="left" w:pos="3119"/>
        </w:tabs>
        <w:jc w:val="both"/>
        <w:rPr>
          <w:sz w:val="22"/>
          <w:szCs w:val="22"/>
          <w:lang w:val="uk-UA" w:eastAsia="ru-RU"/>
        </w:rPr>
      </w:pPr>
    </w:p>
    <w:p w14:paraId="330CD4E0"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Інформуємо про взаємозв’язок між питаннями:</w:t>
      </w:r>
    </w:p>
    <w:p w14:paraId="0E4F537E"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Взаємозв</w:t>
      </w:r>
      <w:r>
        <w:rPr>
          <w:sz w:val="22"/>
          <w:szCs w:val="22"/>
          <w:lang w:val="uk-UA" w:eastAsia="ru-RU"/>
        </w:rPr>
        <w:t>’</w:t>
      </w:r>
      <w:r w:rsidRPr="00B54A4C">
        <w:rPr>
          <w:sz w:val="22"/>
          <w:szCs w:val="22"/>
          <w:lang w:val="uk-UA" w:eastAsia="ru-RU"/>
        </w:rPr>
        <w:t>язок між питаннями відсутній.</w:t>
      </w:r>
    </w:p>
    <w:p w14:paraId="1442D282" w14:textId="77777777" w:rsidR="006F38A3" w:rsidRPr="00B54A4C" w:rsidRDefault="006F38A3" w:rsidP="006F38A3">
      <w:pPr>
        <w:tabs>
          <w:tab w:val="left" w:pos="3119"/>
        </w:tabs>
        <w:jc w:val="both"/>
        <w:rPr>
          <w:sz w:val="22"/>
          <w:szCs w:val="22"/>
          <w:lang w:val="uk-UA" w:eastAsia="ru-RU"/>
        </w:rPr>
      </w:pPr>
    </w:p>
    <w:p w14:paraId="62926E83"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Дата та час складання переліку акціонерів, для реєстрації на річних дистанційних зборах акціонерів Товариства, </w:t>
      </w:r>
      <w:r w:rsidRPr="000A222F">
        <w:rPr>
          <w:sz w:val="22"/>
          <w:szCs w:val="22"/>
          <w:lang w:val="uk-UA" w:eastAsia="ru-RU"/>
        </w:rPr>
        <w:t>що відбудуться 22 липня 2026 р. – 23-00 17 липня 2026 р.</w:t>
      </w:r>
    </w:p>
    <w:p w14:paraId="26A674A7" w14:textId="77777777" w:rsidR="006F38A3" w:rsidRPr="00B54A4C" w:rsidRDefault="006F38A3" w:rsidP="006F38A3">
      <w:pPr>
        <w:tabs>
          <w:tab w:val="left" w:pos="3119"/>
        </w:tabs>
        <w:jc w:val="both"/>
        <w:rPr>
          <w:sz w:val="22"/>
          <w:szCs w:val="22"/>
          <w:lang w:val="uk-UA" w:eastAsia="ru-RU"/>
        </w:rPr>
      </w:pPr>
    </w:p>
    <w:p w14:paraId="5AD5F512"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Інформація з </w:t>
      </w:r>
      <w:proofErr w:type="spellStart"/>
      <w:r w:rsidRPr="00B54A4C">
        <w:rPr>
          <w:sz w:val="22"/>
          <w:szCs w:val="22"/>
          <w:lang w:val="uk-UA" w:eastAsia="ru-RU"/>
        </w:rPr>
        <w:t>проектами</w:t>
      </w:r>
      <w:proofErr w:type="spellEnd"/>
      <w:r w:rsidRPr="00B54A4C">
        <w:rPr>
          <w:sz w:val="22"/>
          <w:szCs w:val="22"/>
          <w:lang w:val="uk-UA" w:eastAsia="ru-RU"/>
        </w:rPr>
        <w:t xml:space="preserve"> рішень щодо кожного з питань порядку денного Загальних зборів, повідомлення про проведення загальних зборів,  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перелік документів, що має надати акціонер (представник акціонера) для його участі у загальних зборах,   розміщені на власному  веб-сайті  </w:t>
      </w:r>
      <w:hyperlink r:id="rId4" w:history="1">
        <w:r w:rsidRPr="00B54A4C">
          <w:rPr>
            <w:rStyle w:val="ae"/>
            <w:color w:val="auto"/>
            <w:sz w:val="22"/>
            <w:szCs w:val="22"/>
            <w:lang w:val="uk-UA" w:eastAsia="ru-RU"/>
          </w:rPr>
          <w:t>www.depar.pat.ua</w:t>
        </w:r>
      </w:hyperlink>
      <w:r w:rsidRPr="00B54A4C">
        <w:rPr>
          <w:sz w:val="22"/>
          <w:szCs w:val="22"/>
          <w:lang w:val="uk-UA" w:eastAsia="ru-RU"/>
        </w:rPr>
        <w:t>.</w:t>
      </w:r>
    </w:p>
    <w:p w14:paraId="5D279B8A" w14:textId="77777777" w:rsidR="006F38A3" w:rsidRPr="00B54A4C" w:rsidRDefault="006F38A3" w:rsidP="006F38A3">
      <w:pPr>
        <w:tabs>
          <w:tab w:val="left" w:pos="3119"/>
        </w:tabs>
        <w:jc w:val="both"/>
        <w:rPr>
          <w:sz w:val="22"/>
          <w:szCs w:val="22"/>
          <w:lang w:val="uk-UA" w:eastAsia="ru-RU"/>
        </w:rPr>
      </w:pPr>
    </w:p>
    <w:p w14:paraId="5386DB77"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lastRenderedPageBreak/>
        <w:t xml:space="preserve">Дата розміщення бюлетенів для голосування з питань порядку денного зборів у вільному для акціонерів доступі на власному веб-сайті Товариства </w:t>
      </w:r>
      <w:bookmarkStart w:id="0" w:name="_Hlk158799134"/>
      <w:r w:rsidRPr="00B54A4C">
        <w:rPr>
          <w:sz w:val="22"/>
          <w:szCs w:val="22"/>
          <w:lang w:val="uk-UA" w:eastAsia="ru-RU"/>
        </w:rPr>
        <w:fldChar w:fldCharType="begin"/>
      </w:r>
      <w:r w:rsidRPr="00B54A4C">
        <w:rPr>
          <w:sz w:val="22"/>
          <w:szCs w:val="22"/>
          <w:lang w:val="uk-UA" w:eastAsia="ru-RU"/>
        </w:rPr>
        <w:instrText xml:space="preserve"> HYPERLINK "http://www.depar.pat.ua" </w:instrText>
      </w:r>
      <w:r w:rsidRPr="00B54A4C">
        <w:rPr>
          <w:sz w:val="22"/>
          <w:szCs w:val="22"/>
          <w:lang w:val="uk-UA" w:eastAsia="ru-RU"/>
        </w:rPr>
        <w:fldChar w:fldCharType="separate"/>
      </w:r>
      <w:r w:rsidRPr="00B54A4C">
        <w:rPr>
          <w:rStyle w:val="ae"/>
          <w:color w:val="auto"/>
          <w:sz w:val="22"/>
          <w:szCs w:val="22"/>
          <w:lang w:val="uk-UA" w:eastAsia="ru-RU"/>
        </w:rPr>
        <w:t>www.depar.pat.ua</w:t>
      </w:r>
      <w:r w:rsidRPr="00B54A4C">
        <w:rPr>
          <w:sz w:val="22"/>
          <w:szCs w:val="22"/>
          <w:lang w:val="uk-UA" w:eastAsia="ru-RU"/>
        </w:rPr>
        <w:fldChar w:fldCharType="end"/>
      </w:r>
      <w:bookmarkEnd w:id="0"/>
      <w:r w:rsidRPr="00B54A4C">
        <w:rPr>
          <w:sz w:val="22"/>
          <w:szCs w:val="22"/>
          <w:lang w:val="uk-UA" w:eastAsia="ru-RU"/>
        </w:rPr>
        <w:t xml:space="preserve"> – </w:t>
      </w:r>
      <w:r>
        <w:rPr>
          <w:sz w:val="22"/>
          <w:szCs w:val="22"/>
          <w:lang w:val="uk-UA" w:eastAsia="ru-RU"/>
        </w:rPr>
        <w:t>12</w:t>
      </w:r>
      <w:r w:rsidRPr="00B54A4C">
        <w:rPr>
          <w:sz w:val="22"/>
          <w:szCs w:val="22"/>
          <w:lang w:val="uk-UA" w:eastAsia="ru-RU"/>
        </w:rPr>
        <w:t xml:space="preserve"> </w:t>
      </w:r>
      <w:r>
        <w:rPr>
          <w:sz w:val="22"/>
          <w:szCs w:val="22"/>
          <w:lang w:val="uk-UA" w:eastAsia="ru-RU"/>
        </w:rPr>
        <w:t>липня</w:t>
      </w:r>
      <w:r w:rsidRPr="00B54A4C">
        <w:rPr>
          <w:sz w:val="22"/>
          <w:szCs w:val="22"/>
          <w:lang w:val="uk-UA" w:eastAsia="ru-RU"/>
        </w:rPr>
        <w:t xml:space="preserve"> 202</w:t>
      </w:r>
      <w:r>
        <w:rPr>
          <w:sz w:val="22"/>
          <w:szCs w:val="22"/>
          <w:lang w:val="uk-UA" w:eastAsia="ru-RU"/>
        </w:rPr>
        <w:t>6</w:t>
      </w:r>
      <w:r w:rsidRPr="00B54A4C">
        <w:rPr>
          <w:sz w:val="22"/>
          <w:szCs w:val="22"/>
          <w:lang w:val="uk-UA" w:eastAsia="ru-RU"/>
        </w:rPr>
        <w:t xml:space="preserve"> р.</w:t>
      </w:r>
    </w:p>
    <w:p w14:paraId="779E585E" w14:textId="77777777" w:rsidR="006F38A3" w:rsidRPr="00B54A4C" w:rsidRDefault="006F38A3" w:rsidP="006F38A3">
      <w:pPr>
        <w:tabs>
          <w:tab w:val="left" w:pos="3119"/>
        </w:tabs>
        <w:jc w:val="both"/>
        <w:rPr>
          <w:sz w:val="22"/>
          <w:szCs w:val="22"/>
          <w:lang w:val="uk-UA" w:eastAsia="ru-RU"/>
        </w:rPr>
      </w:pPr>
    </w:p>
    <w:p w14:paraId="10B0FCD2"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bookmarkStart w:id="1" w:name="_Hlk158798546"/>
      <w:proofErr w:type="spellStart"/>
      <w:r w:rsidRPr="00B54A4C">
        <w:rPr>
          <w:sz w:val="22"/>
          <w:szCs w:val="22"/>
          <w:lang w:eastAsia="ru-RU"/>
        </w:rPr>
        <w:t>deparua</w:t>
      </w:r>
      <w:proofErr w:type="spellEnd"/>
      <w:r w:rsidRPr="00B54A4C">
        <w:rPr>
          <w:sz w:val="22"/>
          <w:szCs w:val="22"/>
          <w:lang w:val="ru-RU" w:eastAsia="ru-RU"/>
        </w:rPr>
        <w:t>@</w:t>
      </w:r>
      <w:proofErr w:type="spellStart"/>
      <w:r w:rsidRPr="00B54A4C">
        <w:rPr>
          <w:sz w:val="22"/>
          <w:szCs w:val="22"/>
          <w:lang w:eastAsia="ru-RU"/>
        </w:rPr>
        <w:t>gmail</w:t>
      </w:r>
      <w:proofErr w:type="spellEnd"/>
      <w:r w:rsidRPr="00B54A4C">
        <w:rPr>
          <w:sz w:val="22"/>
          <w:szCs w:val="22"/>
          <w:lang w:val="ru-RU" w:eastAsia="ru-RU"/>
        </w:rPr>
        <w:t>.</w:t>
      </w:r>
      <w:r w:rsidRPr="00B54A4C">
        <w:rPr>
          <w:sz w:val="22"/>
          <w:szCs w:val="22"/>
          <w:lang w:eastAsia="ru-RU"/>
        </w:rPr>
        <w:t>com</w:t>
      </w:r>
      <w:bookmarkEnd w:id="1"/>
      <w:r w:rsidRPr="00B54A4C">
        <w:rPr>
          <w:sz w:val="22"/>
          <w:szCs w:val="22"/>
          <w:lang w:val="uk-UA" w:eastAsia="ru-RU"/>
        </w:rPr>
        <w:t>.</w:t>
      </w:r>
    </w:p>
    <w:p w14:paraId="70DFC2B4"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     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deparua@gmail.com.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w:t>
      </w:r>
    </w:p>
    <w:p w14:paraId="533D58FE"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     Товариство до дати проведення Загальних зборів надає відповіді на запитання акціонерів щодо питань, включених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Загальних зборів та порядку денного Загальних зборів. Відповідні запити направляються акціонерами на адресу електронної пошти deparua@gmail.com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w:t>
      </w:r>
    </w:p>
    <w:p w14:paraId="738BEDCC" w14:textId="77777777" w:rsidR="006F38A3" w:rsidRPr="00B54A4C" w:rsidRDefault="006F38A3" w:rsidP="006F38A3">
      <w:pPr>
        <w:tabs>
          <w:tab w:val="left" w:pos="3119"/>
        </w:tabs>
        <w:jc w:val="both"/>
        <w:rPr>
          <w:sz w:val="22"/>
          <w:szCs w:val="22"/>
          <w:lang w:val="uk-UA" w:eastAsia="ru-RU"/>
        </w:rPr>
      </w:pPr>
      <w:r>
        <w:rPr>
          <w:sz w:val="22"/>
          <w:szCs w:val="22"/>
          <w:lang w:val="uk-UA" w:eastAsia="ru-RU"/>
        </w:rPr>
        <w:t>Голова Наглядової ради</w:t>
      </w:r>
      <w:r w:rsidRPr="00B54A4C">
        <w:rPr>
          <w:sz w:val="22"/>
          <w:szCs w:val="22"/>
          <w:lang w:val="uk-UA" w:eastAsia="ru-RU"/>
        </w:rPr>
        <w:t xml:space="preserve"> Товариства </w:t>
      </w:r>
      <w:r>
        <w:rPr>
          <w:sz w:val="22"/>
          <w:szCs w:val="22"/>
          <w:lang w:val="uk-UA" w:eastAsia="ru-RU"/>
        </w:rPr>
        <w:t>Соколова Олена Василівна</w:t>
      </w:r>
      <w:r w:rsidRPr="00B54A4C">
        <w:rPr>
          <w:sz w:val="22"/>
          <w:szCs w:val="22"/>
          <w:lang w:val="uk-UA" w:eastAsia="ru-RU"/>
        </w:rPr>
        <w:t xml:space="preserve">  (контактний телефон: (050) 311-84-99) є посадовою особою, відповідальною за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w:t>
      </w:r>
    </w:p>
    <w:p w14:paraId="5A2EB008" w14:textId="77777777" w:rsidR="006F38A3" w:rsidRPr="00B54A4C" w:rsidRDefault="006F38A3" w:rsidP="006F38A3">
      <w:pPr>
        <w:tabs>
          <w:tab w:val="left" w:pos="3119"/>
        </w:tabs>
        <w:jc w:val="both"/>
        <w:rPr>
          <w:sz w:val="22"/>
          <w:szCs w:val="22"/>
          <w:lang w:val="uk-UA" w:eastAsia="ru-RU"/>
        </w:rPr>
      </w:pPr>
    </w:p>
    <w:p w14:paraId="4C2405BC"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Кожний акціонер має право </w:t>
      </w:r>
      <w:proofErr w:type="spellStart"/>
      <w:r w:rsidRPr="00B54A4C">
        <w:rPr>
          <w:sz w:val="22"/>
          <w:szCs w:val="22"/>
          <w:lang w:val="uk-UA" w:eastAsia="ru-RU"/>
        </w:rPr>
        <w:t>внести</w:t>
      </w:r>
      <w:proofErr w:type="spellEnd"/>
      <w:r w:rsidRPr="00B54A4C">
        <w:rPr>
          <w:sz w:val="22"/>
          <w:szCs w:val="22"/>
          <w:lang w:val="uk-UA" w:eastAsia="ru-RU"/>
        </w:rPr>
        <w:t xml:space="preserve"> пропозиції щодо питань, включених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загальних зборів акціонерного товариства, а також щодо нових кандидатів до складу органів товариства, кількість яких не може перевищувати кількісного складу кожного з органів.</w:t>
      </w:r>
    </w:p>
    <w:p w14:paraId="1CFCED8B"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Пропозиції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загальних зборів акціонерного товариства направляються акціонерами на адресу електронної пошти deparua@gmail.com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w:t>
      </w:r>
    </w:p>
    <w:p w14:paraId="2E31A4B8"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Зміни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загальних зборів вносяться лише шляхом включення нових питань та </w:t>
      </w:r>
      <w:proofErr w:type="spellStart"/>
      <w:r w:rsidRPr="00B54A4C">
        <w:rPr>
          <w:sz w:val="22"/>
          <w:szCs w:val="22"/>
          <w:lang w:val="uk-UA" w:eastAsia="ru-RU"/>
        </w:rPr>
        <w:t>проектів</w:t>
      </w:r>
      <w:proofErr w:type="spellEnd"/>
      <w:r w:rsidRPr="00B54A4C">
        <w:rPr>
          <w:sz w:val="22"/>
          <w:szCs w:val="22"/>
          <w:lang w:val="uk-UA" w:eastAsia="ru-RU"/>
        </w:rPr>
        <w:t xml:space="preserve"> рішень із запропонованих питань. Товариство не має права вносити зміни до запропонованих акціонерами питань або </w:t>
      </w:r>
      <w:proofErr w:type="spellStart"/>
      <w:r w:rsidRPr="00B54A4C">
        <w:rPr>
          <w:sz w:val="22"/>
          <w:szCs w:val="22"/>
          <w:lang w:val="uk-UA" w:eastAsia="ru-RU"/>
        </w:rPr>
        <w:t>проектів</w:t>
      </w:r>
      <w:proofErr w:type="spellEnd"/>
      <w:r w:rsidRPr="00B54A4C">
        <w:rPr>
          <w:sz w:val="22"/>
          <w:szCs w:val="22"/>
          <w:lang w:val="uk-UA" w:eastAsia="ru-RU"/>
        </w:rPr>
        <w:t xml:space="preserve"> рішень.</w:t>
      </w:r>
    </w:p>
    <w:p w14:paraId="4188FBAA"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Оскарження акціонером рішення товариства про відмову у включенні його пропозицій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до суду не зупиняє проведення загальних зборів. Суд за результатами розгляду справи може постановити рішення про зобов'язання товариства провести загальні збори з питання, у включенні якого до </w:t>
      </w:r>
      <w:proofErr w:type="spellStart"/>
      <w:r w:rsidRPr="00B54A4C">
        <w:rPr>
          <w:sz w:val="22"/>
          <w:szCs w:val="22"/>
          <w:lang w:val="uk-UA" w:eastAsia="ru-RU"/>
        </w:rPr>
        <w:t>проекту</w:t>
      </w:r>
      <w:proofErr w:type="spellEnd"/>
      <w:r w:rsidRPr="00B54A4C">
        <w:rPr>
          <w:sz w:val="22"/>
          <w:szCs w:val="22"/>
          <w:lang w:val="uk-UA" w:eastAsia="ru-RU"/>
        </w:rPr>
        <w:t xml:space="preserve"> порядку денного було безпідставно відмовлено акціонеру.</w:t>
      </w:r>
    </w:p>
    <w:p w14:paraId="3F2B73E9"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Представником акціонера - фізичної чи юридичної особи на Загальних зборах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14:paraId="010A929B"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w:t>
      </w:r>
      <w:r w:rsidRPr="00B54A4C">
        <w:rPr>
          <w:sz w:val="22"/>
          <w:szCs w:val="22"/>
          <w:lang w:val="uk-UA" w:eastAsia="ru-RU"/>
        </w:rPr>
        <w:lastRenderedPageBreak/>
        <w:t>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14:paraId="0DA6F970"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Акціонер має право видати довіреність на право участі та голосування на загальних зборах декільком своїм представникам.   </w:t>
      </w:r>
    </w:p>
    <w:p w14:paraId="59BBE8D9"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18E0A3CA"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7CF83B2B"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5A02E910"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3CB4022C"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Датою початку голосування акціонерів є дата розміщення бюлетенів для голосування у вільному для акціонерів доступі (з 11 години дня, який зазначено як дата розміщення бюлетенів). Датою закінчення голосування акціонерів є дата проведення Загальних зборів. Бюлетені приймаються виключно до 18-00 дати завершення голосування .</w:t>
      </w:r>
    </w:p>
    <w:p w14:paraId="60C43962"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62DA57EA"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У разі 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w:t>
      </w:r>
    </w:p>
    <w:p w14:paraId="6D6B9AC0"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p w14:paraId="541CA36C"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Бюлетень для голосування на Загальних зборах засвідчується одним з наступних способів за вибором акціонера:</w:t>
      </w:r>
    </w:p>
    <w:p w14:paraId="69B640D2"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1) за допомогою кваліфікованого електронного підпису акціонера (його представника);</w:t>
      </w:r>
    </w:p>
    <w:p w14:paraId="0FE1A949"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2) нотаріально, за умови підписання бюлетеня в присутності нотаріуса або посадової особи, яка вчиняє нотаріальні дії;</w:t>
      </w:r>
    </w:p>
    <w:p w14:paraId="5F2805B2"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1D6F7600" w14:textId="77777777" w:rsidR="006F38A3" w:rsidRPr="00B54A4C" w:rsidRDefault="006F38A3" w:rsidP="006F38A3">
      <w:pPr>
        <w:tabs>
          <w:tab w:val="left" w:pos="3119"/>
        </w:tabs>
        <w:jc w:val="both"/>
        <w:rPr>
          <w:sz w:val="22"/>
          <w:szCs w:val="22"/>
          <w:lang w:val="uk-UA" w:eastAsia="ru-RU"/>
        </w:rPr>
      </w:pPr>
    </w:p>
    <w:p w14:paraId="580EACE6"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14:paraId="460BD7A9"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 </w:t>
      </w:r>
    </w:p>
    <w:p w14:paraId="4F5D3BA5" w14:textId="77777777" w:rsidR="006F38A3" w:rsidRPr="00B54A4C" w:rsidRDefault="006F38A3" w:rsidP="006F38A3">
      <w:pPr>
        <w:tabs>
          <w:tab w:val="left" w:pos="3119"/>
        </w:tabs>
        <w:jc w:val="both"/>
        <w:rPr>
          <w:sz w:val="22"/>
          <w:szCs w:val="22"/>
          <w:lang w:val="uk-UA" w:eastAsia="ru-RU"/>
        </w:rPr>
      </w:pPr>
      <w:r w:rsidRPr="00B54A4C">
        <w:rPr>
          <w:sz w:val="22"/>
          <w:szCs w:val="22"/>
          <w:lang w:val="uk-UA" w:eastAsia="ru-RU"/>
        </w:rPr>
        <w:t xml:space="preserve">    Протокол Загальних зборів та Підсумки голосування з питань порядку денного Загальних зборів будуть доведені до відома акціонерів шляхом розміщення на власному  </w:t>
      </w:r>
      <w:proofErr w:type="spellStart"/>
      <w:r w:rsidRPr="00B54A4C">
        <w:rPr>
          <w:sz w:val="22"/>
          <w:szCs w:val="22"/>
          <w:lang w:val="uk-UA" w:eastAsia="ru-RU"/>
        </w:rPr>
        <w:t>web</w:t>
      </w:r>
      <w:proofErr w:type="spellEnd"/>
      <w:r w:rsidRPr="00B54A4C">
        <w:rPr>
          <w:sz w:val="22"/>
          <w:szCs w:val="22"/>
          <w:lang w:val="uk-UA" w:eastAsia="ru-RU"/>
        </w:rPr>
        <w:t>-сайті  www.depar.pat.ua  протягом 10 днів після закриття Загальних зборів.</w:t>
      </w:r>
    </w:p>
    <w:p w14:paraId="641C718D" w14:textId="77777777" w:rsidR="006F38A3" w:rsidRPr="006F38A3" w:rsidRDefault="006F38A3">
      <w:pPr>
        <w:rPr>
          <w:lang w:val="uk-UA"/>
        </w:rPr>
      </w:pPr>
    </w:p>
    <w:sectPr w:rsidR="006F38A3" w:rsidRPr="006F38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A3"/>
    <w:rsid w:val="000148DF"/>
    <w:rsid w:val="006F3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1737"/>
  <w15:chartTrackingRefBased/>
  <w15:docId w15:val="{9801EEB8-E4E3-43E5-B192-D94DB459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8A3"/>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6F38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6F38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6F38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6F38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14:ligatures w14:val="standardContextual"/>
    </w:rPr>
  </w:style>
  <w:style w:type="paragraph" w:styleId="5">
    <w:name w:val="heading 5"/>
    <w:basedOn w:val="a"/>
    <w:next w:val="a"/>
    <w:link w:val="50"/>
    <w:uiPriority w:val="9"/>
    <w:semiHidden/>
    <w:unhideWhenUsed/>
    <w:qFormat/>
    <w:rsid w:val="006F38A3"/>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14:ligatures w14:val="standardContextual"/>
    </w:rPr>
  </w:style>
  <w:style w:type="paragraph" w:styleId="6">
    <w:name w:val="heading 6"/>
    <w:basedOn w:val="a"/>
    <w:next w:val="a"/>
    <w:link w:val="60"/>
    <w:uiPriority w:val="9"/>
    <w:semiHidden/>
    <w:unhideWhenUsed/>
    <w:qFormat/>
    <w:rsid w:val="006F38A3"/>
    <w:pPr>
      <w:keepNext/>
      <w:keepLines/>
      <w:spacing w:before="40" w:line="278" w:lineRule="auto"/>
      <w:outlineLvl w:val="5"/>
    </w:pPr>
    <w:rPr>
      <w:rFonts w:asciiTheme="minorHAnsi" w:eastAsiaTheme="majorEastAsia" w:hAnsiTheme="minorHAnsi"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6F38A3"/>
    <w:pPr>
      <w:keepNext/>
      <w:keepLines/>
      <w:spacing w:before="40" w:line="278" w:lineRule="auto"/>
      <w:outlineLvl w:val="6"/>
    </w:pPr>
    <w:rPr>
      <w:rFonts w:asciiTheme="minorHAnsi" w:eastAsiaTheme="majorEastAsia" w:hAnsiTheme="minorHAnsi"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6F38A3"/>
    <w:pPr>
      <w:keepNext/>
      <w:keepLines/>
      <w:spacing w:line="278" w:lineRule="auto"/>
      <w:outlineLvl w:val="7"/>
    </w:pPr>
    <w:rPr>
      <w:rFonts w:asciiTheme="minorHAnsi" w:eastAsiaTheme="majorEastAsia" w:hAnsiTheme="minorHAnsi"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6F38A3"/>
    <w:pPr>
      <w:keepNext/>
      <w:keepLines/>
      <w:spacing w:line="278" w:lineRule="auto"/>
      <w:outlineLvl w:val="8"/>
    </w:pPr>
    <w:rPr>
      <w:rFonts w:asciiTheme="minorHAnsi" w:eastAsiaTheme="majorEastAsia" w:hAnsiTheme="minorHAnsi"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8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38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38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38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38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38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38A3"/>
    <w:rPr>
      <w:rFonts w:eastAsiaTheme="majorEastAsia" w:cstheme="majorBidi"/>
      <w:color w:val="595959" w:themeColor="text1" w:themeTint="A6"/>
    </w:rPr>
  </w:style>
  <w:style w:type="character" w:customStyle="1" w:styleId="80">
    <w:name w:val="Заголовок 8 Знак"/>
    <w:basedOn w:val="a0"/>
    <w:link w:val="8"/>
    <w:uiPriority w:val="9"/>
    <w:semiHidden/>
    <w:rsid w:val="006F38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38A3"/>
    <w:rPr>
      <w:rFonts w:eastAsiaTheme="majorEastAsia" w:cstheme="majorBidi"/>
      <w:color w:val="272727" w:themeColor="text1" w:themeTint="D8"/>
    </w:rPr>
  </w:style>
  <w:style w:type="paragraph" w:styleId="a3">
    <w:name w:val="Title"/>
    <w:basedOn w:val="a"/>
    <w:next w:val="a"/>
    <w:link w:val="a4"/>
    <w:uiPriority w:val="10"/>
    <w:qFormat/>
    <w:rsid w:val="006F38A3"/>
    <w:pPr>
      <w:spacing w:after="80"/>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6F3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8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6F38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38A3"/>
    <w:pPr>
      <w:spacing w:before="160" w:after="160" w:line="278" w:lineRule="auto"/>
      <w:jc w:val="center"/>
    </w:pPr>
    <w:rPr>
      <w:rFonts w:asciiTheme="minorHAnsi" w:eastAsiaTheme="minorHAnsi" w:hAnsiTheme="minorHAnsi" w:cstheme="minorBidi"/>
      <w:i/>
      <w:iCs/>
      <w:color w:val="404040" w:themeColor="text1" w:themeTint="BF"/>
      <w:kern w:val="2"/>
      <w:lang w:val="uk-UA"/>
      <w14:ligatures w14:val="standardContextual"/>
    </w:rPr>
  </w:style>
  <w:style w:type="character" w:customStyle="1" w:styleId="a8">
    <w:name w:val="Цитата Знак"/>
    <w:basedOn w:val="a0"/>
    <w:link w:val="a7"/>
    <w:uiPriority w:val="29"/>
    <w:rsid w:val="006F38A3"/>
    <w:rPr>
      <w:i/>
      <w:iCs/>
      <w:color w:val="404040" w:themeColor="text1" w:themeTint="BF"/>
    </w:rPr>
  </w:style>
  <w:style w:type="paragraph" w:styleId="a9">
    <w:name w:val="List Paragraph"/>
    <w:basedOn w:val="a"/>
    <w:uiPriority w:val="34"/>
    <w:qFormat/>
    <w:rsid w:val="006F38A3"/>
    <w:pPr>
      <w:spacing w:after="160" w:line="278" w:lineRule="auto"/>
      <w:ind w:left="720"/>
      <w:contextualSpacing/>
    </w:pPr>
    <w:rPr>
      <w:rFonts w:asciiTheme="minorHAnsi" w:eastAsiaTheme="minorHAnsi" w:hAnsiTheme="minorHAnsi" w:cstheme="minorBidi"/>
      <w:kern w:val="2"/>
      <w:lang w:val="uk-UA"/>
      <w14:ligatures w14:val="standardContextual"/>
    </w:rPr>
  </w:style>
  <w:style w:type="character" w:styleId="aa">
    <w:name w:val="Intense Emphasis"/>
    <w:basedOn w:val="a0"/>
    <w:uiPriority w:val="21"/>
    <w:qFormat/>
    <w:rsid w:val="006F38A3"/>
    <w:rPr>
      <w:i/>
      <w:iCs/>
      <w:color w:val="0F4761" w:themeColor="accent1" w:themeShade="BF"/>
    </w:rPr>
  </w:style>
  <w:style w:type="paragraph" w:styleId="ab">
    <w:name w:val="Intense Quote"/>
    <w:basedOn w:val="a"/>
    <w:next w:val="a"/>
    <w:link w:val="ac"/>
    <w:uiPriority w:val="30"/>
    <w:qFormat/>
    <w:rsid w:val="006F38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14:ligatures w14:val="standardContextual"/>
    </w:rPr>
  </w:style>
  <w:style w:type="character" w:customStyle="1" w:styleId="ac">
    <w:name w:val="Насичена цитата Знак"/>
    <w:basedOn w:val="a0"/>
    <w:link w:val="ab"/>
    <w:uiPriority w:val="30"/>
    <w:rsid w:val="006F38A3"/>
    <w:rPr>
      <w:i/>
      <w:iCs/>
      <w:color w:val="0F4761" w:themeColor="accent1" w:themeShade="BF"/>
    </w:rPr>
  </w:style>
  <w:style w:type="character" w:styleId="ad">
    <w:name w:val="Intense Reference"/>
    <w:basedOn w:val="a0"/>
    <w:uiPriority w:val="32"/>
    <w:qFormat/>
    <w:rsid w:val="006F38A3"/>
    <w:rPr>
      <w:b/>
      <w:bCs/>
      <w:smallCaps/>
      <w:color w:val="0F4761" w:themeColor="accent1" w:themeShade="BF"/>
      <w:spacing w:val="5"/>
    </w:rPr>
  </w:style>
  <w:style w:type="character" w:customStyle="1" w:styleId="51">
    <w:name w:val="Основной текст (5)"/>
    <w:rsid w:val="006F38A3"/>
    <w:rPr>
      <w:rFonts w:ascii="Times New Roman" w:eastAsia="Times New Roman" w:hAnsi="Times New Roman" w:cs="Times New Roman"/>
      <w:b w:val="0"/>
      <w:bCs w:val="0"/>
      <w:i w:val="0"/>
      <w:iCs w:val="0"/>
      <w:smallCaps w:val="0"/>
      <w:strike w:val="0"/>
      <w:color w:val="494954"/>
      <w:spacing w:val="0"/>
      <w:w w:val="100"/>
      <w:position w:val="0"/>
      <w:sz w:val="22"/>
      <w:szCs w:val="22"/>
      <w:u w:val="none"/>
      <w:lang w:val="uk-UA" w:eastAsia="uk-UA" w:bidi="uk-UA"/>
    </w:rPr>
  </w:style>
  <w:style w:type="character" w:styleId="ae">
    <w:name w:val="Hyperlink"/>
    <w:rsid w:val="006F38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par.pat.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7824</Words>
  <Characters>4460</Characters>
  <Application>Microsoft Office Word</Application>
  <DocSecurity>0</DocSecurity>
  <Lines>37</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Костянтин</dc:creator>
  <cp:keywords/>
  <dc:description/>
  <cp:lastModifiedBy>Костянтин</cp:lastModifiedBy>
  <cp:revision>1</cp:revision>
  <dcterms:created xsi:type="dcterms:W3CDTF">2026-06-29T12:45:00Z</dcterms:created>
  <dcterms:modified xsi:type="dcterms:W3CDTF">2026-06-29T12:45:00Z</dcterms:modified>
</cp:coreProperties>
</file>